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footer8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77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78.xml" ContentType="application/vnd.openxmlformats-officedocument.wordprocessingml.foot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word/footer81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2512"/>
        <w:gridCol w:w="1099"/>
        <w:gridCol w:w="11775"/>
      </w:tblGrid>
      <w:tr w:rsidR="00000000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PŘÍLOHA</w:t>
            </w:r>
          </w:p>
        </w:tc>
      </w:tr>
      <w:tr w:rsidR="00000000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příspěvkové organizace zřizované ÚSC</w:t>
            </w:r>
          </w:p>
        </w:tc>
      </w:tr>
      <w:tr w:rsidR="00000000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000000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2016</w:t>
            </w:r>
          </w:p>
        </w:tc>
      </w:tr>
      <w:tr w:rsidR="00000000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71010696</w:t>
            </w:r>
          </w:p>
        </w:tc>
      </w:tr>
      <w:tr w:rsidR="00000000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Základni škola a Mateřská škola Milhostov, okres Cheb </w:t>
            </w:r>
          </w:p>
        </w:tc>
      </w:tr>
      <w:tr w:rsidR="00000000">
        <w:trPr>
          <w:cantSplit/>
        </w:trPr>
        <w:tc>
          <w:tcPr>
            <w:tcW w:w="1569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"/>
          <w:footerReference w:type="default" r:id="rId8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Sestavená k rozvahovému dni 31. prosinci 2016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1570"/>
        <w:gridCol w:w="5495"/>
      </w:tblGrid>
      <w:tr w:rsidR="00000000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Místo podnikání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  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350 02 Cheb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1570"/>
        <w:gridCol w:w="5495"/>
      </w:tblGrid>
      <w:tr w:rsidR="00000000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Předmět podnikání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71010696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hlavní činnost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základní vzdělávání a předškolní výchova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právní forma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vedlejší činnost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zřizovatel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 Milhostov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CZ-NACE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801020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7065"/>
      </w:tblGrid>
      <w:tr w:rsidR="00000000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352 200 579</w:t>
            </w:r>
          </w:p>
        </w:tc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zdenek.jezek@zsamsmilhostov.cz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8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3140"/>
        <w:gridCol w:w="3925"/>
        <w:gridCol w:w="785"/>
        <w:gridCol w:w="3140"/>
        <w:gridCol w:w="3925"/>
      </w:tblGrid>
      <w:tr w:rsidR="00000000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Jitka Smrčková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Zdeněk Ježek - ředitel školy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orgánu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Okamžik sestavení (datum, čas): 02.02.2017, 13h43m35s</w:t>
      </w: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3 zákona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Účetní jednotka pokračuje v následujícím účetním období ve své činnosti, nedošlo ke změnám metody z důvodu ukončení činnosti.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4 zákona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Došlo k dílčím změnám účetních metod a postupů účtování dle vyhlášky č. 403/2011 Sb., kterou se mění vyhláška č. 410/2009 Sb.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Organizace vede na základě rozhodnutí zřizovatele účetnictví ve zjednodušeném rozsahu.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o stavu účtů v knize podrozvahových účtů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7693"/>
        <w:gridCol w:w="314"/>
        <w:gridCol w:w="785"/>
        <w:gridCol w:w="3140"/>
        <w:gridCol w:w="3140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769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Podrozvahový</w:t>
            </w: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007"/>
        <w:gridCol w:w="785"/>
        <w:gridCol w:w="3140"/>
        <w:gridCol w:w="3140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P.I.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796 484,67 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781 930,05 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796 484,67 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781 930,05 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P.III.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P.IV.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vyplývající z práv.předp.a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vyplývající z práv.předp.a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P.VIII.</w:t>
            </w:r>
          </w:p>
        </w:tc>
        <w:tc>
          <w:tcPr>
            <w:tcW w:w="800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796 484,67 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781 930,05 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A.5.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18 odst. 3 písm. b) zákona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A.6.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6 zákona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Ke konci účetní závěrky neexistovaly takové podmínky či situace, v jejiž důsledku by došlo k výrazné změně pohledu na finanční situaci účetní jednotky.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6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8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68 odst. 3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30"/>
      </w:tblGrid>
      <w:tr w:rsidR="00000000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"C.I.1 Jmění účetní jednotky" a "C.I.3. Transfery na pořízení dlouhodobého majetku"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8635"/>
        <w:gridCol w:w="3140"/>
        <w:gridCol w:w="3140"/>
      </w:tblGrid>
      <w:tr w:rsidR="00000000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8635"/>
        <w:gridCol w:w="3140"/>
        <w:gridCol w:w="3140"/>
      </w:tblGrid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C.1.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Počet jednotlivých věcí a souborů majetku nebo seznam tohoto majetku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30"/>
      </w:tblGrid>
      <w:tr w:rsidR="00000000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bez komentáře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D.2.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Celková výměra lesních pozemků s lesním porostem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0.00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celkové výměry lesních pozemků s lesním porostem ve výši 57 Kč/m2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0.00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Výměra lesních pozemků s lesním porostem oceněných jiným způsobem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0.00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D.5.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lesních pozemků s lesním porostem oceněných jiným způsobem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0.00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D.6.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Průměrná výše ocenění výměry lesních pozemků s lesním porostem oceněných jiným způsobem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0.00</w:t>
      </w: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D.7.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Komentář k ocenění lesních pozemků jiným způsobem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30"/>
      </w:tblGrid>
      <w:tr w:rsidR="00000000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5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výkazu zisku a ztráty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5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peněžních tocích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5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změnách vlastního kapitálu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5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fondům účetní jednotky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Fond kulturních a sociálních potřeb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32"/>
        <w:gridCol w:w="3140"/>
      </w:tblGrid>
      <w:tr w:rsidR="00000000">
        <w:trPr>
          <w:cantSplit/>
        </w:trPr>
        <w:tc>
          <w:tcPr>
            <w:tcW w:w="1255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32"/>
        <w:gridCol w:w="3140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A.I.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95 148,66 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42 671,89 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příděl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42 671,89 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Splátky půjček na bytové účely poskytnutých do konce roku 1992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škod a pojistná plnění od pojišťovny vztahující se k majetku pořízenému z fondu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Peněžní a jiné dary určené do fondu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tvorba fondu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11 838,90 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Půjčky na bytové účely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Stravování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Rekreace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Kultura, tělovýchova a sport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4 078,90 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 výpomoci a půjčky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peněžní dary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Úhrada příspěvku na penzijní připojištění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5 760,00 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Úhrada části pojistného na soukromé životní pojištění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užití fondu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A.IV.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125 981,65 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Rezervní fond - příspěvkové organizace zřizované územními samosprávnými celky a svazky obcí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32"/>
        <w:gridCol w:w="3140"/>
      </w:tblGrid>
      <w:tr w:rsidR="00000000">
        <w:trPr>
          <w:cantSplit/>
        </w:trPr>
        <w:tc>
          <w:tcPr>
            <w:tcW w:w="1255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32"/>
        <w:gridCol w:w="3140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D.I.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88 345,40 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Zlepšený výsledek hospodaření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Nespotřebované dotace z rozpočtu Evropské unie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Nespotřebované dotace z mezinárodních smluv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Peněžní dary - účelové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Peněžní dary - neúčelové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tvorba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D.III.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Úhrada zhoršeného výsledku hospodaření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Úhrada sankcí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Posílení fondu investic se souhlasem zřizovatele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Časové překlenutí dočasného nesouladu mezi výnosy a náklady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čerpání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D.IV.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88 345,40 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Fond investic - příspěvkové organizace zřizované územními samosprávnými celky a svazky obcí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32"/>
        <w:gridCol w:w="3140"/>
      </w:tblGrid>
      <w:tr w:rsidR="00000000">
        <w:trPr>
          <w:cantSplit/>
        </w:trPr>
        <w:tc>
          <w:tcPr>
            <w:tcW w:w="1255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32"/>
        <w:gridCol w:w="3140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F.I.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Peněžní prostředky ve výši odpisů hmotného a nehmotného majetku prováděné podle zřizovatelem schváleného odpisového plánu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příspěvek z rozpočtu zřizovatele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dotace ze státních fondů a jiných veřejných rozpočtů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 výši příjmů z prodeje svěřeného dlouhodobého hmotného majetku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Peněžní dary a příspěvky od jiných subjektů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 výši příjmů z prodeje majetku ve vlastnictví příspěvkové organizace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rezervního fondu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F.III.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a technické zhodnocení hmotného a nehmotného dlouhodobého majetku, s vyjímkou drobného hmotného a nehmotného dlouhodobého majetku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Úhrada investičních úvěrů nebo půjček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 do rozpočtu zřizovatele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Navýšení peněžních prostředků určených na financování údržby a oprav majetku, který příspěvková organizace používá pro svou činnost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F.IV.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G.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"A.II.3. Stavby" výkazu rozvahy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80"/>
        <w:gridCol w:w="2198"/>
        <w:gridCol w:w="2198"/>
        <w:gridCol w:w="2198"/>
        <w:gridCol w:w="2198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80"/>
        <w:gridCol w:w="2198"/>
        <w:gridCol w:w="2198"/>
        <w:gridCol w:w="2198"/>
        <w:gridCol w:w="2198"/>
      </w:tblGrid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Bytové domy a 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 pro služby obyvatelstvu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nebytové domy a nebytové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 a veřejné osvětlení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inženýrské sítě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G.6.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121"/>
          <w:footerReference w:type="default" r:id="rId122"/>
          <w:headerReference w:type="first" r:id="rId123"/>
          <w:footerReference w:type="first" r:id="rId12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H.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"A.II.1. Pozemky" výkazu rozvahy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80"/>
        <w:gridCol w:w="2198"/>
        <w:gridCol w:w="2198"/>
        <w:gridCol w:w="2198"/>
        <w:gridCol w:w="2198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25"/>
          <w:footerReference w:type="default" r:id="rId126"/>
          <w:headerReference w:type="first" r:id="rId127"/>
          <w:footerReference w:type="first" r:id="rId12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80"/>
        <w:gridCol w:w="2198"/>
        <w:gridCol w:w="2198"/>
        <w:gridCol w:w="2198"/>
        <w:gridCol w:w="2198"/>
      </w:tblGrid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H.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Stavební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Zahrady, pastviny, louky, rybníky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Zastavěná plocha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129"/>
          <w:footerReference w:type="default" r:id="rId130"/>
          <w:headerReference w:type="first" r:id="rId131"/>
          <w:footerReference w:type="first" r:id="rId13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9"/>
      </w:tblGrid>
      <w:tr w:rsidR="00000000">
        <w:trPr>
          <w:cantSplit/>
        </w:trPr>
        <w:tc>
          <w:tcPr>
            <w:tcW w:w="1569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I. Doplňující informace k položce "A.II.4. Náklady z přecenění reálnou hodnotou" výkazu zisku a ztráty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92"/>
        <w:gridCol w:w="3140"/>
        <w:gridCol w:w="3140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33"/>
          <w:footerReference w:type="default" r:id="rId134"/>
          <w:headerReference w:type="first" r:id="rId135"/>
          <w:footerReference w:type="first" r:id="rId13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92"/>
        <w:gridCol w:w="3140"/>
        <w:gridCol w:w="3140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37"/>
          <w:footerReference w:type="default" r:id="rId138"/>
          <w:headerReference w:type="first" r:id="rId139"/>
          <w:footerReference w:type="first" r:id="rId14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9"/>
      </w:tblGrid>
      <w:tr w:rsidR="00000000">
        <w:trPr>
          <w:cantSplit/>
        </w:trPr>
        <w:tc>
          <w:tcPr>
            <w:tcW w:w="1569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J. Doplňující informace k položce "B.II.4. Výnosy z přecenění reálnou hodnotou" výkazu zisku a ztráty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92"/>
        <w:gridCol w:w="3140"/>
        <w:gridCol w:w="3140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41"/>
          <w:footerReference w:type="default" r:id="rId142"/>
          <w:headerReference w:type="first" r:id="rId143"/>
          <w:footerReference w:type="first" r:id="rId14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92"/>
        <w:gridCol w:w="3140"/>
        <w:gridCol w:w="3140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J.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45"/>
          <w:footerReference w:type="default" r:id="rId146"/>
          <w:headerReference w:type="first" r:id="rId147"/>
          <w:footerReference w:type="first" r:id="rId14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poskytnutým garancím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149"/>
          <w:footerReference w:type="default" r:id="rId150"/>
          <w:headerReference w:type="first" r:id="rId151"/>
          <w:footerReference w:type="first" r:id="rId15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4915"/>
      </w:tblGrid>
      <w:tr w:rsidR="00000000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K.1.</w:t>
            </w:r>
          </w:p>
        </w:tc>
        <w:tc>
          <w:tcPr>
            <w:tcW w:w="149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Doplňující informace k poskytnutým garancím jednorázovým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4915"/>
      </w:tblGrid>
      <w:tr w:rsidR="00000000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K.2.</w:t>
            </w:r>
          </w:p>
        </w:tc>
        <w:tc>
          <w:tcPr>
            <w:tcW w:w="149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Doplňující informace k poskytnutým garancím ostatním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before="30" w:after="3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Poznámky k vyplnění: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4915"/>
      </w:tblGrid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sloupce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Poznámka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IČ je identifikační číslo osoby (číselný kód k jednoznačné identifikaci subjektu), které jí bylo přiděleno Českým statistickým úřadem, Obchodním rejstříkem nebo živnostenským úřadem. IČ by mělo být unikátní. V tomto sloupci uvede účetní jednotka IČ osoby (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jednotky), v jejíž prospěch byla garance poskytnuta.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nebo obchodní jméno účetní jednotky, v jejíž prospěch byla garance poskytnuta. Název představuje označení, pod kterým účetní jednotka provozuje svoji činnost.Obchodním jménem účetní jedno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tky zapsané do obchodního rejstříku je obchodní firma.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IČ je identifikační číslo osoby (číselný kód k jednoznačné identifikaci subjektu), které jí bylo přiděleno Českým statistickým úřadem, Obchodním rejstříkem nebo živnostenským úřadem. IČ by mělo být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unikátní.  V tomto sloupci uvede účetní jednotka IČ účetní jednotky (účetní jednotky), za jejíž závazek byla garance poskytnuta.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Název nebo obchodní jméno účetní jednotky, za jejíž závazek byla poskytnuta garance. Název představuje označení, pod kterým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jednotka provozuje svoji činnost.Obchodním jménem účetní jednotky zapsáné do obchodního rejstříku je obchodní firma.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Datumem poskytnutí garance se rozumí její zachycení v podrozvaze. Okamžikem vzniku podmíněného závazku se rozumí den poskytnutí p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ísemného prohlášení ručitele věřiteli o ručení za závazky dlužníka vůči věřiteli (včetně podpisu avalu směnky), není-li dohodnuto jinak, podpisu záruční listiny, schválení zákona o poskytnutí záruky Českou republikou.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Výše zajištěné pohledávky k aktuáln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ímu či poslednímu rozvahovému dni.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Den a měsíc účetního období, za které je sestavována účetní závěrka, a v němž došlo k plnění vyplývajícímu z garance. Plněním se rozumí realizace garance, neboli úplné či částečné převzetí dluhu za původního dlužníka z titulu poskytnuté garance, neboť dluž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ník není schopen splatit pohledávku vznikou ručiteli z realizace garance.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 uhrazené pohledávky z titulu ručení či záruky v účetním období, za které je sestavována podrozvaha.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Souhrn dosavadních plnění (úhrad realizovaných ručitelem) z titulu ko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nkrétního ručení či záruky.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jednotka uvede číslo dle následujícího výčtu: 1 - Půjčky (zápůjčky), úvěry, návratné finanční výpomoci, 2 - Dluhové cenné papíry (včetně směnek),3 - Přijaté vklady a depozita, 4 - Ostatní dlouhodobé závazky.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53"/>
          <w:footerReference w:type="default" r:id="rId154"/>
          <w:headerReference w:type="first" r:id="rId155"/>
          <w:footerReference w:type="first" r:id="rId15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72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o projektech partnerství veřejného a soukromého sektoru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57"/>
          <w:footerReference w:type="default" r:id="rId158"/>
          <w:headerReference w:type="first" r:id="rId159"/>
          <w:footerReference w:type="first" r:id="rId16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30" w:after="3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lastRenderedPageBreak/>
        <w:t>Poznámky k vyplnění: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98"/>
        <w:gridCol w:w="14601"/>
      </w:tblGrid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sloupce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Poznámka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a název veřejné zakázky, jak je uveden ve Věstníku veřejných zakázek.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Podle charakteru služeb, které jsou předmětem veřejné zakázky, uvede účetní jednotka odpovídající písmenné označení z následujícího výčtu: A - Dopravní infrastruktura,B - Vzdělávání a související služby, C - Vodovody, kanalizace a nakládání s odpady, D - S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ociální služby, E - Zdravotnické služby, F - Teplo, energie, G - Ostatní.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 až 7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Předpokládaný nebo skutečný rok zahájení a rok ukončení stavby, pokud je stavba součástí předmětné veřejné zakázky.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 až 12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Skutečné náklady dodavatele na pořízení majetku v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jednotlivých letech.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Skutečné náklady na pořízení majetku v celkové výši od uzavření smlouvy.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14 a 15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Rok zahájení a rok ukončení plateb poskytovaných účetní jednotkou dodavateli.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16,18,20,22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Celkové platby za dostupnost hrazené účetní jednotkou dodavateli. Obvykle zahrnují tak zvanou servisní složku, úhradu nákladů na pořízení majetku, úhradu nákladů na externí dluhové financování a další.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17,19,21,23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Investiční složka platby za dostupnost, n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eboli výdaje na pořízení majetku v jednotlivých letech.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Celkové výdaje na pořízení majetku v platbách za dostupnost.</w:t>
            </w:r>
          </w:p>
        </w:tc>
      </w:tr>
      <w:tr w:rsidR="00000000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25 až 29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F9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Další plnění zadavatele v souvislosti s projektem (například nákup pozemků, úvěr poskytnutý dodavateli a další).</w:t>
            </w:r>
          </w:p>
        </w:tc>
      </w:tr>
    </w:tbl>
    <w:p w:rsidR="00000000" w:rsidRDefault="00F90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61"/>
          <w:footerReference w:type="default" r:id="rId162"/>
          <w:headerReference w:type="first" r:id="rId163"/>
          <w:footerReference w:type="first" r:id="rId16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F9070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* Konec sestavy *</w:t>
      </w:r>
    </w:p>
    <w:p w:rsidR="00F90709" w:rsidRDefault="00F9070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F90709">
      <w:headerReference w:type="default" r:id="rId165"/>
      <w:footerReference w:type="default" r:id="rId166"/>
      <w:headerReference w:type="first" r:id="rId167"/>
      <w:footerReference w:type="first" r:id="rId168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09" w:rsidRDefault="00F90709">
      <w:pPr>
        <w:spacing w:after="0" w:line="240" w:lineRule="auto"/>
      </w:pPr>
      <w:r>
        <w:separator/>
      </w:r>
    </w:p>
  </w:endnote>
  <w:endnote w:type="continuationSeparator" w:id="0">
    <w:p w:rsidR="00F90709" w:rsidRDefault="00F9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C5CBC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C5CBC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000000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13h43m35s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09" w:rsidRDefault="00F90709">
      <w:pPr>
        <w:spacing w:after="0" w:line="240" w:lineRule="auto"/>
      </w:pPr>
      <w:r>
        <w:separator/>
      </w:r>
    </w:p>
  </w:footnote>
  <w:footnote w:type="continuationSeparator" w:id="0">
    <w:p w:rsidR="00F90709" w:rsidRDefault="00F9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A.4.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5 zákona o stavu účtů v knize podrozvahových účtů</w:t>
          </w: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7693"/>
      <w:gridCol w:w="314"/>
      <w:gridCol w:w="785"/>
      <w:gridCol w:w="3140"/>
      <w:gridCol w:w="3140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769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09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Podrozvahový</w:t>
          </w: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007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8"/>
      <w:gridCol w:w="12874"/>
    </w:tblGrid>
    <w:tr w:rsidR="00000000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A.6.</w:t>
          </w:r>
        </w:p>
      </w:tc>
      <w:tc>
        <w:tcPr>
          <w:tcW w:w="15072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19 odst. 6 zákona</w:t>
          </w: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6</w:t>
          </w: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13"/>
      <w:gridCol w:w="2512"/>
      <w:gridCol w:w="1099"/>
      <w:gridCol w:w="11775"/>
    </w:tblGrid>
    <w:tr w:rsidR="00000000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4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PŘÍLOHA</w:t>
          </w:r>
        </w:p>
      </w:tc>
    </w:tr>
    <w:tr w:rsidR="00000000">
      <w:trPr>
        <w:cantSplit/>
      </w:trPr>
      <w:tc>
        <w:tcPr>
          <w:tcW w:w="313" w:type="dxa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000000" w:rsidRDefault="002C5C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příspěvkové organizace zřizované ÚSC</w:t>
          </w:r>
        </w:p>
      </w:tc>
    </w:tr>
    <w:tr w:rsidR="00000000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2016</w:t>
          </w:r>
        </w:p>
      </w:tc>
    </w:tr>
    <w:tr w:rsidR="00000000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71010696</w:t>
          </w:r>
        </w:p>
      </w:tc>
    </w:tr>
    <w:tr w:rsidR="00000000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Základni škola a Mateřská škola Milhostov, okres Cheb </w:t>
          </w:r>
        </w:p>
      </w:tc>
    </w:tr>
    <w:tr w:rsidR="00000000">
      <w:trPr>
        <w:cantSplit/>
      </w:trPr>
      <w:tc>
        <w:tcPr>
          <w:tcW w:w="15699" w:type="dxa"/>
          <w:gridSpan w:val="4"/>
          <w:tcBorders>
            <w:top w:val="single" w:sz="2" w:space="0" w:color="000000"/>
            <w:left w:val="nil"/>
            <w:bottom w:val="nil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8"/>
      <w:gridCol w:w="12874"/>
    </w:tblGrid>
    <w:tr w:rsidR="00000000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B.2.</w:t>
          </w:r>
        </w:p>
      </w:tc>
      <w:tc>
        <w:tcPr>
          <w:tcW w:w="15072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8</w:t>
          </w: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8"/>
      <w:gridCol w:w="12874"/>
    </w:tblGrid>
    <w:tr w:rsidR="00000000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B.3.</w:t>
          </w:r>
        </w:p>
      </w:tc>
      <w:tc>
        <w:tcPr>
          <w:tcW w:w="15072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68 odst. 3</w:t>
          </w: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C.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"C.I.1 Jmění účetní jednotky" a "C.I.3. Transfery na pořízení dlouhodobého majetku"</w:t>
          </w: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784"/>
      <w:gridCol w:w="8635"/>
      <w:gridCol w:w="3140"/>
      <w:gridCol w:w="3140"/>
    </w:tblGrid>
    <w:tr w:rsidR="00000000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78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Počet jednotlivých věcí a souborů majetku nebo seznam tohoto majetku</w:t>
          </w: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F.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fondům účetní jednotky</w:t>
          </w: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1932"/>
      <w:gridCol w:w="3140"/>
    </w:tblGrid>
    <w:tr w:rsidR="00000000">
      <w:trPr>
        <w:cantSplit/>
      </w:trPr>
      <w:tc>
        <w:tcPr>
          <w:tcW w:w="1255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4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3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16"/>
              <w:szCs w:val="16"/>
            </w:rPr>
          </w:pP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80"/>
              <w:sz w:val="16"/>
              <w:szCs w:val="16"/>
            </w:rPr>
            <w:t>Rezervní fond - příspěvkové organizace zřizované územními samosprávnými celky a svazky obcí</w:t>
          </w: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1932"/>
      <w:gridCol w:w="3140"/>
    </w:tblGrid>
    <w:tr w:rsidR="00000000">
      <w:trPr>
        <w:cantSplit/>
      </w:trPr>
      <w:tc>
        <w:tcPr>
          <w:tcW w:w="1255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4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3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16"/>
              <w:szCs w:val="16"/>
            </w:rPr>
          </w:pP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80"/>
              <w:sz w:val="16"/>
              <w:szCs w:val="16"/>
            </w:rPr>
            <w:t>Fond investic - příspěvkové organizace zřizované územními samosprávnými celky a svazky obcí</w:t>
          </w: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1932"/>
      <w:gridCol w:w="3140"/>
    </w:tblGrid>
    <w:tr w:rsidR="00000000">
      <w:trPr>
        <w:cantSplit/>
      </w:trPr>
      <w:tc>
        <w:tcPr>
          <w:tcW w:w="1255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4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3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G.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"A.II.3. Stavby" výkazu rozvahy</w:t>
          </w: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280"/>
      <w:gridCol w:w="2198"/>
      <w:gridCol w:w="2198"/>
      <w:gridCol w:w="2198"/>
      <w:gridCol w:w="2198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2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3 zákona</w:t>
          </w:r>
        </w:p>
      </w:tc>
    </w:tr>
  </w:tbl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280"/>
      <w:gridCol w:w="2198"/>
      <w:gridCol w:w="2198"/>
      <w:gridCol w:w="2198"/>
      <w:gridCol w:w="2198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2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5699"/>
    </w:tblGrid>
    <w:tr w:rsidR="00000000">
      <w:trPr>
        <w:cantSplit/>
      </w:trPr>
      <w:tc>
        <w:tcPr>
          <w:tcW w:w="15699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I. Doplňující informace k položce "A.II.4. Náklady z přecenění reálnou hodnotou" výkazu zisku a ztráty</w:t>
          </w: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8792"/>
      <w:gridCol w:w="3140"/>
      <w:gridCol w:w="3140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8792"/>
      <w:gridCol w:w="3140"/>
      <w:gridCol w:w="3140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K.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poskytnutým garancím</w:t>
          </w:r>
        </w:p>
      </w:tc>
    </w:tr>
  </w:tbl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72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L.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o projektech partnerství veřejného a soukromého sektoru</w:t>
          </w:r>
        </w:p>
      </w:tc>
    </w:tr>
  </w:tbl>
  <w:p w:rsidR="00000000" w:rsidRDefault="00F9070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000000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DFIV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PYA  (14042016 / 16022016)</w:t>
          </w:r>
        </w:p>
      </w:tc>
    </w:tr>
    <w:tr w:rsidR="00000000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F907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070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CBC"/>
    <w:rsid w:val="002C5CBC"/>
    <w:rsid w:val="00F9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38" Type="http://schemas.openxmlformats.org/officeDocument/2006/relationships/footer" Target="footer66.xml"/><Relationship Id="rId154" Type="http://schemas.openxmlformats.org/officeDocument/2006/relationships/footer" Target="footer74.xml"/><Relationship Id="rId159" Type="http://schemas.openxmlformats.org/officeDocument/2006/relationships/header" Target="header77.xml"/><Relationship Id="rId170" Type="http://schemas.openxmlformats.org/officeDocument/2006/relationships/theme" Target="theme/theme1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144" Type="http://schemas.openxmlformats.org/officeDocument/2006/relationships/footer" Target="footer69.xml"/><Relationship Id="rId149" Type="http://schemas.openxmlformats.org/officeDocument/2006/relationships/header" Target="header72.xml"/><Relationship Id="rId5" Type="http://schemas.openxmlformats.org/officeDocument/2006/relationships/endnotes" Target="end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65" Type="http://schemas.openxmlformats.org/officeDocument/2006/relationships/header" Target="header80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header" Target="header67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55" Type="http://schemas.openxmlformats.org/officeDocument/2006/relationships/header" Target="header75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45" Type="http://schemas.openxmlformats.org/officeDocument/2006/relationships/header" Target="header70.xml"/><Relationship Id="rId161" Type="http://schemas.openxmlformats.org/officeDocument/2006/relationships/header" Target="header78.xml"/><Relationship Id="rId166" Type="http://schemas.openxmlformats.org/officeDocument/2006/relationships/footer" Target="footer8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135" Type="http://schemas.openxmlformats.org/officeDocument/2006/relationships/header" Target="header65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51" Type="http://schemas.openxmlformats.org/officeDocument/2006/relationships/header" Target="header73.xml"/><Relationship Id="rId156" Type="http://schemas.openxmlformats.org/officeDocument/2006/relationships/footer" Target="footer75.xml"/><Relationship Id="rId164" Type="http://schemas.openxmlformats.org/officeDocument/2006/relationships/footer" Target="footer79.xml"/><Relationship Id="rId16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footer" Target="footer70.xml"/><Relationship Id="rId167" Type="http://schemas.openxmlformats.org/officeDocument/2006/relationships/header" Target="header81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162" Type="http://schemas.openxmlformats.org/officeDocument/2006/relationships/footer" Target="footer78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147" Type="http://schemas.openxmlformats.org/officeDocument/2006/relationships/header" Target="header71.xml"/><Relationship Id="rId168" Type="http://schemas.openxmlformats.org/officeDocument/2006/relationships/footer" Target="footer8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3" Type="http://schemas.openxmlformats.org/officeDocument/2006/relationships/webSettings" Target="webSettings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158" Type="http://schemas.openxmlformats.org/officeDocument/2006/relationships/footer" Target="footer76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3" Type="http://schemas.openxmlformats.org/officeDocument/2006/relationships/header" Target="header7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2378</Words>
  <Characters>14036</Characters>
  <Application>Microsoft Office Word</Application>
  <DocSecurity>0</DocSecurity>
  <Lines>116</Lines>
  <Paragraphs>32</Paragraphs>
  <ScaleCrop>false</ScaleCrop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2017-02-02T12:44:00Z</dcterms:created>
  <dcterms:modified xsi:type="dcterms:W3CDTF">2017-02-02T12:44:00Z</dcterms:modified>
</cp:coreProperties>
</file>